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CF42B" w14:textId="77777777" w:rsidR="004D1A19" w:rsidRDefault="004D1A19" w:rsidP="007B7BFB">
      <w:pPr>
        <w:ind w:right="95"/>
        <w:jc w:val="both"/>
        <w:rPr>
          <w:rFonts w:ascii="Arial" w:hAnsi="Arial"/>
          <w:u w:val="single"/>
        </w:rPr>
      </w:pPr>
    </w:p>
    <w:p w14:paraId="6720088F" w14:textId="77777777" w:rsidR="007B7BFB" w:rsidRDefault="0077658F"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14:anchorId="23E2A95C" wp14:editId="49880663">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14:paraId="52F54837" w14:textId="77777777" w:rsidR="00586F20" w:rsidRDefault="00586F20" w:rsidP="00586F20">
      <w:pPr>
        <w:jc w:val="center"/>
        <w:rPr>
          <w:rFonts w:ascii="Arial" w:hAnsi="Arial"/>
          <w:u w:val="single"/>
        </w:rPr>
      </w:pPr>
    </w:p>
    <w:p w14:paraId="26E03FE5" w14:textId="77777777"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2"/>
        <w:gridCol w:w="4977"/>
      </w:tblGrid>
      <w:tr w:rsidR="00586F20" w:rsidRPr="00E73D2F" w14:paraId="30F6BE83" w14:textId="77777777" w:rsidTr="001B4BC9">
        <w:tc>
          <w:tcPr>
            <w:tcW w:w="4075" w:type="dxa"/>
            <w:gridSpan w:val="2"/>
            <w:shd w:val="clear" w:color="auto" w:fill="auto"/>
          </w:tcPr>
          <w:p w14:paraId="04000CD6" w14:textId="77777777" w:rsidR="009D72AA" w:rsidRPr="007C5658" w:rsidRDefault="009D72AA" w:rsidP="00460D7F">
            <w:pPr>
              <w:rPr>
                <w:rFonts w:ascii="Arial" w:hAnsi="Arial" w:cs="Arial"/>
                <w:sz w:val="22"/>
                <w:szCs w:val="22"/>
              </w:rPr>
            </w:pPr>
            <w:r w:rsidRPr="007C5658">
              <w:rPr>
                <w:rFonts w:ascii="Arial" w:hAnsi="Arial" w:cs="Arial"/>
                <w:b/>
                <w:sz w:val="22"/>
                <w:szCs w:val="22"/>
              </w:rPr>
              <w:t>Officer:</w:t>
            </w:r>
            <w:r w:rsidR="00CE022F" w:rsidRPr="007C5658">
              <w:rPr>
                <w:rFonts w:ascii="Arial" w:hAnsi="Arial" w:cs="Arial"/>
                <w:b/>
                <w:sz w:val="22"/>
                <w:szCs w:val="22"/>
              </w:rPr>
              <w:t xml:space="preserve"> </w:t>
            </w:r>
            <w:r w:rsidR="00460D7F" w:rsidRPr="007C5658">
              <w:rPr>
                <w:rFonts w:ascii="Arial" w:hAnsi="Arial" w:cs="Arial"/>
                <w:sz w:val="22"/>
                <w:szCs w:val="22"/>
              </w:rPr>
              <w:t>Head of Neighbourhoods</w:t>
            </w:r>
            <w:r w:rsidR="00154649" w:rsidRPr="007C5658">
              <w:rPr>
                <w:rFonts w:ascii="Arial" w:hAnsi="Arial" w:cs="Arial"/>
                <w:sz w:val="22"/>
                <w:szCs w:val="22"/>
              </w:rPr>
              <w:t xml:space="preserve"> – </w:t>
            </w:r>
            <w:r w:rsidR="00460D7F" w:rsidRPr="007C5658">
              <w:rPr>
                <w:rFonts w:ascii="Arial" w:hAnsi="Arial" w:cs="Arial"/>
                <w:sz w:val="22"/>
                <w:szCs w:val="22"/>
              </w:rPr>
              <w:t>Sarah Troman</w:t>
            </w:r>
          </w:p>
        </w:tc>
        <w:tc>
          <w:tcPr>
            <w:tcW w:w="5040" w:type="dxa"/>
            <w:shd w:val="clear" w:color="auto" w:fill="auto"/>
          </w:tcPr>
          <w:p w14:paraId="10F91CA7" w14:textId="1337EA55" w:rsidR="00E74CDA" w:rsidRPr="0077658F" w:rsidRDefault="00586F20" w:rsidP="00373837">
            <w:pPr>
              <w:rPr>
                <w:rFonts w:ascii="Arial" w:hAnsi="Arial" w:cs="Arial"/>
                <w:b/>
                <w:sz w:val="22"/>
                <w:szCs w:val="22"/>
              </w:rPr>
            </w:pPr>
            <w:r w:rsidRPr="0077658F">
              <w:rPr>
                <w:rFonts w:ascii="Arial" w:hAnsi="Arial" w:cs="Arial"/>
                <w:b/>
                <w:sz w:val="22"/>
                <w:szCs w:val="22"/>
              </w:rPr>
              <w:t>Date of Decision:</w:t>
            </w:r>
            <w:r w:rsidR="00CE022F" w:rsidRPr="0077658F">
              <w:rPr>
                <w:rFonts w:ascii="Arial" w:hAnsi="Arial" w:cs="Arial"/>
                <w:b/>
                <w:sz w:val="22"/>
                <w:szCs w:val="22"/>
              </w:rPr>
              <w:t xml:space="preserve"> </w:t>
            </w:r>
            <w:r w:rsidR="00240BA3" w:rsidRPr="0077658F">
              <w:rPr>
                <w:rFonts w:ascii="Arial" w:hAnsi="Arial" w:cs="Arial"/>
                <w:b/>
                <w:sz w:val="22"/>
                <w:szCs w:val="22"/>
              </w:rPr>
              <w:t xml:space="preserve"> </w:t>
            </w:r>
            <w:r w:rsidR="00754139">
              <w:rPr>
                <w:rFonts w:ascii="Arial" w:hAnsi="Arial" w:cs="Arial"/>
                <w:b/>
                <w:sz w:val="22"/>
                <w:szCs w:val="22"/>
              </w:rPr>
              <w:t>14-01-</w:t>
            </w:r>
            <w:r w:rsidR="00FE6AC6">
              <w:rPr>
                <w:rFonts w:ascii="Arial" w:hAnsi="Arial" w:cs="Arial"/>
                <w:b/>
                <w:sz w:val="22"/>
                <w:szCs w:val="22"/>
              </w:rPr>
              <w:t>2022</w:t>
            </w:r>
          </w:p>
          <w:p w14:paraId="3FCCDAE8" w14:textId="77777777" w:rsidR="00136429" w:rsidRPr="0077658F" w:rsidRDefault="00136429" w:rsidP="00373837">
            <w:pPr>
              <w:rPr>
                <w:rFonts w:ascii="Arial" w:hAnsi="Arial" w:cs="Arial"/>
                <w:sz w:val="22"/>
                <w:szCs w:val="22"/>
              </w:rPr>
            </w:pPr>
          </w:p>
        </w:tc>
      </w:tr>
      <w:tr w:rsidR="00586F20" w:rsidRPr="00E73D2F" w14:paraId="26C2A3E9" w14:textId="77777777" w:rsidTr="001B4BC9">
        <w:tc>
          <w:tcPr>
            <w:tcW w:w="9115" w:type="dxa"/>
            <w:gridSpan w:val="3"/>
            <w:shd w:val="clear" w:color="auto" w:fill="auto"/>
          </w:tcPr>
          <w:p w14:paraId="6A83F5EB" w14:textId="77777777" w:rsidR="00E74CDA" w:rsidRDefault="00586F20" w:rsidP="00C55A23">
            <w:pPr>
              <w:rPr>
                <w:rFonts w:ascii="Arial" w:hAnsi="Arial" w:cs="Arial"/>
                <w:b/>
                <w:sz w:val="22"/>
                <w:szCs w:val="22"/>
              </w:rPr>
            </w:pPr>
            <w:r w:rsidRPr="007C5658">
              <w:rPr>
                <w:rFonts w:ascii="Arial" w:hAnsi="Arial" w:cs="Arial"/>
                <w:b/>
                <w:sz w:val="22"/>
                <w:szCs w:val="22"/>
              </w:rPr>
              <w:t xml:space="preserve">Title/Reference: </w:t>
            </w:r>
            <w:r w:rsidR="00C55A23">
              <w:rPr>
                <w:rFonts w:ascii="Arial" w:hAnsi="Arial" w:cs="Arial"/>
                <w:b/>
                <w:sz w:val="22"/>
                <w:szCs w:val="22"/>
              </w:rPr>
              <w:t>Waiver of Saturday Cremation Surcharges</w:t>
            </w:r>
          </w:p>
          <w:p w14:paraId="7B1F5EA6" w14:textId="77777777" w:rsidR="00D35DDA" w:rsidRDefault="00D35DDA" w:rsidP="00C55A23">
            <w:pPr>
              <w:rPr>
                <w:rFonts w:ascii="Arial" w:hAnsi="Arial" w:cs="Arial"/>
                <w:b/>
                <w:sz w:val="22"/>
                <w:szCs w:val="22"/>
              </w:rPr>
            </w:pPr>
          </w:p>
          <w:p w14:paraId="04F78554" w14:textId="53B4DF9F" w:rsidR="00D35DDA" w:rsidRPr="007C5658" w:rsidRDefault="00D35DDA" w:rsidP="00C55A23">
            <w:pPr>
              <w:rPr>
                <w:rFonts w:ascii="Arial" w:hAnsi="Arial" w:cs="Arial"/>
                <w:b/>
                <w:sz w:val="22"/>
                <w:szCs w:val="22"/>
              </w:rPr>
            </w:pPr>
            <w:r>
              <w:rPr>
                <w:rFonts w:ascii="Arial" w:hAnsi="Arial" w:cs="Arial"/>
                <w:b/>
                <w:sz w:val="22"/>
                <w:szCs w:val="22"/>
              </w:rPr>
              <w:t>Delegated Decision Reference: 22/06/NS</w:t>
            </w:r>
          </w:p>
        </w:tc>
      </w:tr>
      <w:tr w:rsidR="00586F20" w:rsidRPr="00E73D2F" w14:paraId="50E3FAB1" w14:textId="77777777" w:rsidTr="001B4BC9">
        <w:tc>
          <w:tcPr>
            <w:tcW w:w="9115" w:type="dxa"/>
            <w:gridSpan w:val="3"/>
            <w:shd w:val="clear" w:color="auto" w:fill="auto"/>
          </w:tcPr>
          <w:p w14:paraId="1416E48F" w14:textId="0A8DC914" w:rsidR="00586F20" w:rsidRPr="007C5658" w:rsidRDefault="009D72AA" w:rsidP="00E524AE">
            <w:pPr>
              <w:rPr>
                <w:rFonts w:ascii="Arial" w:hAnsi="Arial" w:cs="Arial"/>
                <w:sz w:val="22"/>
                <w:szCs w:val="22"/>
              </w:rPr>
            </w:pPr>
            <w:r w:rsidRPr="007C5658">
              <w:rPr>
                <w:rFonts w:ascii="Arial" w:hAnsi="Arial" w:cs="Arial"/>
                <w:b/>
                <w:sz w:val="22"/>
                <w:szCs w:val="22"/>
              </w:rPr>
              <w:t>Consultee M</w:t>
            </w:r>
            <w:r w:rsidR="00586F20" w:rsidRPr="007C5658">
              <w:rPr>
                <w:rFonts w:ascii="Arial" w:hAnsi="Arial" w:cs="Arial"/>
                <w:b/>
                <w:sz w:val="22"/>
                <w:szCs w:val="22"/>
              </w:rPr>
              <w:t>ember (if applicable):</w:t>
            </w:r>
            <w:r w:rsidR="00460D7F" w:rsidRPr="007C5658">
              <w:rPr>
                <w:rFonts w:ascii="Arial" w:hAnsi="Arial" w:cs="Arial"/>
                <w:b/>
                <w:sz w:val="22"/>
                <w:szCs w:val="22"/>
              </w:rPr>
              <w:t xml:space="preserve"> </w:t>
            </w:r>
            <w:r w:rsidR="00754139">
              <w:rPr>
                <w:rFonts w:ascii="Arial" w:hAnsi="Arial" w:cs="Arial"/>
                <w:sz w:val="22"/>
                <w:szCs w:val="22"/>
              </w:rPr>
              <w:t>All elected members of the Joint Crematorium Committee, (representing Ashfield District Council, Newark and Sherwood District Council and Mansfield District Council)</w:t>
            </w:r>
          </w:p>
          <w:p w14:paraId="4D4AFD4B" w14:textId="77777777" w:rsidR="00E74CDA" w:rsidRPr="007C5658" w:rsidRDefault="00E74CDA" w:rsidP="00E524AE">
            <w:pPr>
              <w:rPr>
                <w:rFonts w:ascii="Arial" w:hAnsi="Arial" w:cs="Arial"/>
                <w:sz w:val="22"/>
                <w:szCs w:val="22"/>
              </w:rPr>
            </w:pPr>
          </w:p>
        </w:tc>
      </w:tr>
      <w:tr w:rsidR="00586F20" w:rsidRPr="00E73D2F" w14:paraId="5D3E56FD" w14:textId="77777777" w:rsidTr="001B4BC9">
        <w:tc>
          <w:tcPr>
            <w:tcW w:w="9115" w:type="dxa"/>
            <w:gridSpan w:val="3"/>
            <w:shd w:val="clear" w:color="auto" w:fill="auto"/>
          </w:tcPr>
          <w:p w14:paraId="551526F9" w14:textId="77777777" w:rsidR="009C3E0D" w:rsidRPr="007C5658" w:rsidRDefault="00586F20" w:rsidP="00373837">
            <w:pPr>
              <w:jc w:val="both"/>
              <w:rPr>
                <w:rFonts w:ascii="Arial" w:hAnsi="Arial" w:cs="Arial"/>
                <w:b/>
                <w:sz w:val="22"/>
                <w:szCs w:val="22"/>
              </w:rPr>
            </w:pPr>
            <w:r w:rsidRPr="007C5658">
              <w:rPr>
                <w:rFonts w:ascii="Arial" w:hAnsi="Arial" w:cs="Arial"/>
                <w:b/>
                <w:sz w:val="22"/>
                <w:szCs w:val="22"/>
              </w:rPr>
              <w:t>Record of Decision</w:t>
            </w:r>
            <w:r w:rsidR="009D72AA" w:rsidRPr="007C5658">
              <w:rPr>
                <w:rFonts w:ascii="Arial" w:hAnsi="Arial" w:cs="Arial"/>
                <w:b/>
                <w:sz w:val="22"/>
                <w:szCs w:val="22"/>
              </w:rPr>
              <w:t>:</w:t>
            </w:r>
          </w:p>
          <w:p w14:paraId="27851405" w14:textId="77777777" w:rsidR="00762D5A" w:rsidRPr="007C5658" w:rsidRDefault="00762D5A" w:rsidP="00373837">
            <w:pPr>
              <w:jc w:val="both"/>
              <w:rPr>
                <w:rFonts w:ascii="Arial" w:hAnsi="Arial" w:cs="Arial"/>
                <w:b/>
                <w:sz w:val="22"/>
                <w:szCs w:val="22"/>
              </w:rPr>
            </w:pPr>
          </w:p>
          <w:p w14:paraId="375DDD6E" w14:textId="77777777" w:rsidR="00C55A23" w:rsidRDefault="00C55A23" w:rsidP="00C6775D">
            <w:pPr>
              <w:rPr>
                <w:rFonts w:ascii="Arial" w:hAnsi="Arial" w:cs="Arial"/>
                <w:sz w:val="22"/>
                <w:szCs w:val="22"/>
              </w:rPr>
            </w:pPr>
            <w:r>
              <w:rPr>
                <w:rFonts w:ascii="Arial" w:hAnsi="Arial" w:cs="Arial"/>
                <w:sz w:val="22"/>
                <w:szCs w:val="22"/>
              </w:rPr>
              <w:t xml:space="preserve">Due to the Covid 19 pandemic and the work being completed around emergency planning across the county, it has been identified that there is growing pressure </w:t>
            </w:r>
            <w:r w:rsidR="00A00933">
              <w:rPr>
                <w:rFonts w:ascii="Arial" w:hAnsi="Arial" w:cs="Arial"/>
                <w:sz w:val="22"/>
                <w:szCs w:val="22"/>
              </w:rPr>
              <w:t>on funeral directors and their capacity to deal with increased demand across bereavement services.</w:t>
            </w:r>
          </w:p>
          <w:p w14:paraId="2704A818" w14:textId="77777777" w:rsidR="00C55A23" w:rsidRDefault="00C55A23" w:rsidP="00C6775D">
            <w:pPr>
              <w:rPr>
                <w:rFonts w:ascii="Arial" w:hAnsi="Arial" w:cs="Arial"/>
                <w:sz w:val="22"/>
                <w:szCs w:val="22"/>
              </w:rPr>
            </w:pPr>
          </w:p>
          <w:p w14:paraId="78B1601B" w14:textId="77777777" w:rsidR="00C55A23" w:rsidRDefault="000E0F40" w:rsidP="00C6775D">
            <w:pPr>
              <w:rPr>
                <w:rFonts w:ascii="Arial" w:hAnsi="Arial" w:cs="Arial"/>
                <w:sz w:val="22"/>
                <w:szCs w:val="22"/>
              </w:rPr>
            </w:pPr>
            <w:r>
              <w:rPr>
                <w:rFonts w:ascii="Arial" w:hAnsi="Arial" w:cs="Arial"/>
                <w:sz w:val="22"/>
                <w:szCs w:val="22"/>
              </w:rPr>
              <w:t>Unfortunately Mansfield &amp; District C</w:t>
            </w:r>
            <w:r w:rsidR="00C55A23">
              <w:rPr>
                <w:rFonts w:ascii="Arial" w:hAnsi="Arial" w:cs="Arial"/>
                <w:sz w:val="22"/>
                <w:szCs w:val="22"/>
              </w:rPr>
              <w:t xml:space="preserve">rematorium </w:t>
            </w:r>
            <w:r>
              <w:rPr>
                <w:rFonts w:ascii="Arial" w:hAnsi="Arial" w:cs="Arial"/>
                <w:sz w:val="22"/>
                <w:szCs w:val="22"/>
              </w:rPr>
              <w:t>is currently operating</w:t>
            </w:r>
            <w:r w:rsidR="00C55A23">
              <w:rPr>
                <w:rFonts w:ascii="Arial" w:hAnsi="Arial" w:cs="Arial"/>
                <w:sz w:val="22"/>
                <w:szCs w:val="22"/>
              </w:rPr>
              <w:t xml:space="preserve"> at</w:t>
            </w:r>
            <w:r>
              <w:rPr>
                <w:rFonts w:ascii="Arial" w:hAnsi="Arial" w:cs="Arial"/>
                <w:sz w:val="22"/>
                <w:szCs w:val="22"/>
              </w:rPr>
              <w:t xml:space="preserve"> a</w:t>
            </w:r>
            <w:r w:rsidR="00C55A23">
              <w:rPr>
                <w:rFonts w:ascii="Arial" w:hAnsi="Arial" w:cs="Arial"/>
                <w:sz w:val="22"/>
                <w:szCs w:val="22"/>
              </w:rPr>
              <w:t xml:space="preserve"> reduced capacity for cremations, due to the mec</w:t>
            </w:r>
            <w:r>
              <w:rPr>
                <w:rFonts w:ascii="Arial" w:hAnsi="Arial" w:cs="Arial"/>
                <w:sz w:val="22"/>
                <w:szCs w:val="22"/>
              </w:rPr>
              <w:t xml:space="preserve">hanical breakdown of Cremator 3. This has led to some families and funeral directors </w:t>
            </w:r>
            <w:r w:rsidR="00C55A23">
              <w:rPr>
                <w:rFonts w:ascii="Arial" w:hAnsi="Arial" w:cs="Arial"/>
                <w:sz w:val="22"/>
                <w:szCs w:val="22"/>
              </w:rPr>
              <w:t xml:space="preserve">experiencing a delay in being able to carry out </w:t>
            </w:r>
            <w:r>
              <w:rPr>
                <w:rFonts w:ascii="Arial" w:hAnsi="Arial" w:cs="Arial"/>
                <w:sz w:val="22"/>
                <w:szCs w:val="22"/>
              </w:rPr>
              <w:t>services</w:t>
            </w:r>
            <w:r w:rsidR="00C55A23">
              <w:rPr>
                <w:rFonts w:ascii="Arial" w:hAnsi="Arial" w:cs="Arial"/>
                <w:sz w:val="22"/>
                <w:szCs w:val="22"/>
              </w:rPr>
              <w:t xml:space="preserve">, </w:t>
            </w:r>
            <w:r>
              <w:rPr>
                <w:rFonts w:ascii="Arial" w:hAnsi="Arial" w:cs="Arial"/>
                <w:sz w:val="22"/>
                <w:szCs w:val="22"/>
              </w:rPr>
              <w:t>which has raised some concerns around the ability to respond to any increase in deaths through the pandemic.</w:t>
            </w:r>
          </w:p>
          <w:p w14:paraId="47C0DF46" w14:textId="77777777" w:rsidR="00C55A23" w:rsidRDefault="00C55A23" w:rsidP="00C6775D">
            <w:pPr>
              <w:rPr>
                <w:rFonts w:ascii="Arial" w:hAnsi="Arial" w:cs="Arial"/>
                <w:sz w:val="22"/>
                <w:szCs w:val="22"/>
              </w:rPr>
            </w:pPr>
          </w:p>
          <w:p w14:paraId="4D4256D2" w14:textId="77777777" w:rsidR="000E0F40" w:rsidRDefault="000E0F40" w:rsidP="00C6775D">
            <w:pPr>
              <w:rPr>
                <w:rFonts w:ascii="Arial" w:hAnsi="Arial" w:cs="Arial"/>
                <w:sz w:val="22"/>
                <w:szCs w:val="22"/>
              </w:rPr>
            </w:pPr>
            <w:r>
              <w:rPr>
                <w:rFonts w:ascii="Arial" w:hAnsi="Arial" w:cs="Arial"/>
                <w:sz w:val="22"/>
                <w:szCs w:val="22"/>
              </w:rPr>
              <w:t>The elected members of the three authorities have been consulted and have agreed to waive the Saturday surcharge to encourage families to take up these additional slots to reduce any delay in holding services, until the cremator is repaired and the number of available slots during the week can be increased again.</w:t>
            </w:r>
          </w:p>
          <w:p w14:paraId="0509A0B1" w14:textId="77777777" w:rsidR="000E0F40" w:rsidRDefault="000E0F40" w:rsidP="00C6775D">
            <w:pPr>
              <w:rPr>
                <w:rFonts w:ascii="Arial" w:hAnsi="Arial" w:cs="Arial"/>
                <w:sz w:val="22"/>
                <w:szCs w:val="22"/>
              </w:rPr>
            </w:pPr>
          </w:p>
          <w:p w14:paraId="5D665714" w14:textId="77777777" w:rsidR="000E0F40" w:rsidRDefault="000E0F40" w:rsidP="00C6775D">
            <w:pPr>
              <w:rPr>
                <w:rFonts w:ascii="Arial" w:hAnsi="Arial" w:cs="Arial"/>
                <w:sz w:val="22"/>
                <w:szCs w:val="22"/>
              </w:rPr>
            </w:pPr>
            <w:r>
              <w:rPr>
                <w:rFonts w:ascii="Arial" w:hAnsi="Arial" w:cs="Arial"/>
                <w:sz w:val="22"/>
                <w:szCs w:val="22"/>
              </w:rPr>
              <w:t>The fee was waived at the beginning of the pandemic in order to open up more slots to families to avoid any delay in holding services and reduce the pressure on mortuary spaces. However the uptake of these slots during this period was extremely limited.</w:t>
            </w:r>
          </w:p>
          <w:p w14:paraId="3A277D9F" w14:textId="77777777" w:rsidR="000E0F40" w:rsidRDefault="000E0F40" w:rsidP="00C6775D">
            <w:pPr>
              <w:rPr>
                <w:rFonts w:ascii="Arial" w:hAnsi="Arial" w:cs="Arial"/>
                <w:sz w:val="22"/>
                <w:szCs w:val="22"/>
              </w:rPr>
            </w:pPr>
          </w:p>
          <w:p w14:paraId="180B110F" w14:textId="77777777" w:rsidR="00C55A23" w:rsidRDefault="000E0F40" w:rsidP="00C6775D">
            <w:pPr>
              <w:rPr>
                <w:rFonts w:ascii="Arial" w:hAnsi="Arial" w:cs="Arial"/>
                <w:sz w:val="22"/>
                <w:szCs w:val="22"/>
              </w:rPr>
            </w:pPr>
            <w:r>
              <w:rPr>
                <w:rFonts w:ascii="Arial" w:hAnsi="Arial" w:cs="Arial"/>
                <w:sz w:val="22"/>
                <w:szCs w:val="22"/>
              </w:rPr>
              <w:t>The Saturday surcharge fee is</w:t>
            </w:r>
            <w:r w:rsidR="00C55A23">
              <w:rPr>
                <w:rFonts w:ascii="Arial" w:hAnsi="Arial" w:cs="Arial"/>
                <w:sz w:val="22"/>
                <w:szCs w:val="22"/>
              </w:rPr>
              <w:t xml:space="preserve"> £110 per service, </w:t>
            </w:r>
            <w:r>
              <w:rPr>
                <w:rFonts w:ascii="Arial" w:hAnsi="Arial" w:cs="Arial"/>
                <w:sz w:val="22"/>
                <w:szCs w:val="22"/>
              </w:rPr>
              <w:t>with a maximum of eight service slots available on a Saturday, which will provide an opportunity for families to book their services in a more timely fashion without being impacted by increased fees.</w:t>
            </w:r>
          </w:p>
          <w:p w14:paraId="7B9A2D2F" w14:textId="77777777" w:rsidR="000E0F40" w:rsidRDefault="000E0F40" w:rsidP="00C6775D">
            <w:pPr>
              <w:rPr>
                <w:rFonts w:ascii="Arial" w:hAnsi="Arial" w:cs="Arial"/>
                <w:sz w:val="22"/>
                <w:szCs w:val="22"/>
              </w:rPr>
            </w:pPr>
          </w:p>
          <w:p w14:paraId="64C461E0" w14:textId="77777777" w:rsidR="000E0F40" w:rsidRDefault="000E0F40" w:rsidP="00C6775D">
            <w:pPr>
              <w:rPr>
                <w:rFonts w:ascii="Arial" w:hAnsi="Arial" w:cs="Arial"/>
                <w:sz w:val="22"/>
                <w:szCs w:val="22"/>
              </w:rPr>
            </w:pPr>
            <w:r>
              <w:rPr>
                <w:rFonts w:ascii="Arial" w:hAnsi="Arial" w:cs="Arial"/>
                <w:sz w:val="22"/>
                <w:szCs w:val="22"/>
              </w:rPr>
              <w:t>This waiver of the surcharge will remain in place until the works are completed, which is expected to be mid-February.</w:t>
            </w:r>
          </w:p>
          <w:p w14:paraId="5CEBCDAD" w14:textId="77777777" w:rsidR="00C55A23" w:rsidRPr="007C5658" w:rsidRDefault="00C55A23" w:rsidP="00C55A23">
            <w:pPr>
              <w:rPr>
                <w:rFonts w:ascii="Arial" w:hAnsi="Arial" w:cs="Arial"/>
                <w:sz w:val="22"/>
                <w:szCs w:val="22"/>
              </w:rPr>
            </w:pPr>
          </w:p>
        </w:tc>
      </w:tr>
      <w:tr w:rsidR="003D5331" w:rsidRPr="00E73D2F" w14:paraId="710A1A21" w14:textId="77777777" w:rsidTr="001B4BC9">
        <w:tc>
          <w:tcPr>
            <w:tcW w:w="9115" w:type="dxa"/>
            <w:gridSpan w:val="3"/>
            <w:shd w:val="clear" w:color="auto" w:fill="auto"/>
          </w:tcPr>
          <w:p w14:paraId="3B9C0C64" w14:textId="77777777" w:rsidR="00687074" w:rsidRDefault="003D5331" w:rsidP="003D5331">
            <w:pPr>
              <w:rPr>
                <w:rFonts w:ascii="Arial" w:hAnsi="Arial" w:cs="Arial"/>
                <w:b/>
                <w:bCs/>
                <w:sz w:val="22"/>
                <w:szCs w:val="22"/>
              </w:rPr>
            </w:pPr>
            <w:r w:rsidRPr="007C5658">
              <w:rPr>
                <w:rFonts w:ascii="Arial" w:hAnsi="Arial" w:cs="Arial"/>
                <w:b/>
                <w:sz w:val="22"/>
                <w:szCs w:val="22"/>
              </w:rPr>
              <w:t>Legal Powers / Authority:</w:t>
            </w:r>
            <w:r w:rsidR="00CF499D" w:rsidRPr="007C5658">
              <w:rPr>
                <w:rFonts w:ascii="Arial" w:hAnsi="Arial" w:cs="Arial"/>
                <w:b/>
                <w:bCs/>
                <w:sz w:val="22"/>
                <w:szCs w:val="22"/>
              </w:rPr>
              <w:t xml:space="preserve"> </w:t>
            </w:r>
          </w:p>
          <w:p w14:paraId="6C94220E" w14:textId="77777777" w:rsidR="0077658F" w:rsidRPr="007C5658" w:rsidRDefault="0077658F" w:rsidP="003D5331">
            <w:pPr>
              <w:rPr>
                <w:rFonts w:ascii="Arial" w:hAnsi="Arial" w:cs="Arial"/>
                <w:b/>
                <w:bCs/>
                <w:sz w:val="22"/>
                <w:szCs w:val="22"/>
              </w:rPr>
            </w:pPr>
          </w:p>
          <w:p w14:paraId="09EB691A" w14:textId="77777777" w:rsidR="00687074" w:rsidRDefault="00687074" w:rsidP="003D5331">
            <w:pPr>
              <w:rPr>
                <w:rFonts w:ascii="Arial" w:hAnsi="Arial" w:cs="Arial"/>
                <w:bCs/>
                <w:sz w:val="22"/>
                <w:szCs w:val="22"/>
              </w:rPr>
            </w:pPr>
            <w:r w:rsidRPr="007C5658">
              <w:rPr>
                <w:rFonts w:ascii="Arial" w:hAnsi="Arial" w:cs="Arial"/>
                <w:bCs/>
                <w:sz w:val="22"/>
                <w:szCs w:val="22"/>
              </w:rPr>
              <w:t>The Head of Neighbourhood Services has delegated authority within the Constitution as follows:</w:t>
            </w:r>
          </w:p>
          <w:p w14:paraId="272BC138" w14:textId="77777777" w:rsidR="0077658F" w:rsidRPr="007C5658" w:rsidRDefault="0077658F" w:rsidP="003D5331">
            <w:pPr>
              <w:rPr>
                <w:rFonts w:ascii="Arial" w:hAnsi="Arial" w:cs="Arial"/>
                <w:bCs/>
                <w:sz w:val="22"/>
                <w:szCs w:val="22"/>
              </w:rPr>
            </w:pPr>
          </w:p>
          <w:p w14:paraId="54A052B7" w14:textId="77777777" w:rsidR="003D5331" w:rsidRPr="007C5658" w:rsidRDefault="00CF499D" w:rsidP="003D5331">
            <w:pPr>
              <w:rPr>
                <w:rFonts w:ascii="Arial" w:hAnsi="Arial" w:cs="Arial"/>
                <w:b/>
                <w:sz w:val="22"/>
                <w:szCs w:val="22"/>
              </w:rPr>
            </w:pPr>
            <w:r w:rsidRPr="007C5658">
              <w:rPr>
                <w:rFonts w:ascii="Arial" w:hAnsi="Arial" w:cs="Arial"/>
                <w:b/>
                <w:bCs/>
                <w:sz w:val="22"/>
                <w:szCs w:val="22"/>
              </w:rPr>
              <w:t xml:space="preserve">3.01.17.1 </w:t>
            </w:r>
            <w:r w:rsidRPr="007C5658">
              <w:rPr>
                <w:rFonts w:ascii="Arial" w:hAnsi="Arial" w:cs="Arial"/>
                <w:bCs/>
                <w:sz w:val="22"/>
                <w:szCs w:val="22"/>
              </w:rPr>
              <w:t>To take all operational decisions</w:t>
            </w:r>
            <w:r w:rsidRPr="007C5658">
              <w:rPr>
                <w:rFonts w:ascii="Arial" w:hAnsi="Arial" w:cs="Arial"/>
                <w:b/>
                <w:bCs/>
                <w:sz w:val="22"/>
                <w:szCs w:val="22"/>
              </w:rPr>
              <w:t xml:space="preserve"> </w:t>
            </w:r>
            <w:r w:rsidRPr="007C5658">
              <w:rPr>
                <w:rFonts w:ascii="Arial" w:hAnsi="Arial" w:cs="Arial"/>
                <w:sz w:val="22"/>
                <w:szCs w:val="22"/>
              </w:rPr>
              <w:t>in respect of the Council’s functions in respect of car parks, cemeteries and crematorium, fleet, trade waste, waste, transfer station, Hermitage Lane depot, parks and open spaces, street cleansing, town centre management and waste and recycling.</w:t>
            </w:r>
          </w:p>
          <w:p w14:paraId="25921A5D" w14:textId="77777777" w:rsidR="009B6FB1" w:rsidRPr="007C5658" w:rsidRDefault="009B6FB1" w:rsidP="000553E6">
            <w:pPr>
              <w:rPr>
                <w:rFonts w:ascii="Arial" w:hAnsi="Arial" w:cs="Arial"/>
                <w:b/>
                <w:sz w:val="22"/>
                <w:szCs w:val="22"/>
              </w:rPr>
            </w:pPr>
          </w:p>
        </w:tc>
      </w:tr>
      <w:tr w:rsidR="00E524AE" w:rsidRPr="007C5658" w14:paraId="271AB846" w14:textId="77777777" w:rsidTr="001B4BC9">
        <w:trPr>
          <w:trHeight w:val="275"/>
        </w:trPr>
        <w:tc>
          <w:tcPr>
            <w:tcW w:w="1697" w:type="dxa"/>
            <w:vMerge w:val="restart"/>
            <w:shd w:val="clear" w:color="auto" w:fill="auto"/>
          </w:tcPr>
          <w:p w14:paraId="2B99549B" w14:textId="77777777" w:rsidR="00E524AE" w:rsidRPr="007C5658" w:rsidRDefault="00E524AE" w:rsidP="002E566A">
            <w:pPr>
              <w:rPr>
                <w:rFonts w:ascii="Arial" w:hAnsi="Arial" w:cs="Arial"/>
                <w:b/>
                <w:sz w:val="22"/>
                <w:szCs w:val="22"/>
              </w:rPr>
            </w:pPr>
            <w:r w:rsidRPr="007C5658">
              <w:rPr>
                <w:rFonts w:ascii="Arial" w:hAnsi="Arial" w:cs="Arial"/>
                <w:b/>
                <w:sz w:val="22"/>
                <w:szCs w:val="22"/>
              </w:rPr>
              <w:t>Implications:</w:t>
            </w:r>
          </w:p>
          <w:p w14:paraId="344F9873" w14:textId="77777777" w:rsidR="00E524AE" w:rsidRPr="007C5658" w:rsidRDefault="00E524AE" w:rsidP="002E566A">
            <w:pPr>
              <w:rPr>
                <w:rFonts w:ascii="Arial" w:hAnsi="Arial" w:cs="Arial"/>
                <w:b/>
                <w:sz w:val="22"/>
                <w:szCs w:val="22"/>
              </w:rPr>
            </w:pPr>
            <w:r w:rsidRPr="007C5658">
              <w:rPr>
                <w:rFonts w:ascii="Arial" w:hAnsi="Arial" w:cs="Arial"/>
                <w:sz w:val="22"/>
                <w:szCs w:val="22"/>
              </w:rPr>
              <w:t xml:space="preserve">You should also consult any other relevant officers if you think the decision will </w:t>
            </w:r>
            <w:r w:rsidRPr="007C5658">
              <w:rPr>
                <w:rFonts w:ascii="Arial" w:hAnsi="Arial" w:cs="Arial"/>
                <w:sz w:val="22"/>
                <w:szCs w:val="22"/>
              </w:rPr>
              <w:lastRenderedPageBreak/>
              <w:t>have an impact on their areas of responsibility.</w:t>
            </w:r>
          </w:p>
        </w:tc>
        <w:tc>
          <w:tcPr>
            <w:tcW w:w="7418" w:type="dxa"/>
            <w:gridSpan w:val="2"/>
            <w:shd w:val="clear" w:color="auto" w:fill="auto"/>
          </w:tcPr>
          <w:p w14:paraId="6C983AF5" w14:textId="77777777" w:rsidR="008D4EBC" w:rsidRPr="007C5658" w:rsidRDefault="00E524AE" w:rsidP="004B6207">
            <w:pPr>
              <w:rPr>
                <w:rFonts w:ascii="Arial" w:hAnsi="Arial" w:cs="Arial"/>
                <w:b/>
                <w:sz w:val="22"/>
                <w:szCs w:val="22"/>
              </w:rPr>
            </w:pPr>
            <w:r w:rsidRPr="007C5658">
              <w:rPr>
                <w:rFonts w:ascii="Arial" w:hAnsi="Arial" w:cs="Arial"/>
                <w:b/>
                <w:sz w:val="22"/>
                <w:szCs w:val="22"/>
              </w:rPr>
              <w:lastRenderedPageBreak/>
              <w:t xml:space="preserve">Relevant </w:t>
            </w:r>
            <w:r w:rsidR="00BD6342" w:rsidRPr="007C5658">
              <w:rPr>
                <w:rFonts w:ascii="Arial" w:hAnsi="Arial" w:cs="Arial"/>
                <w:b/>
                <w:sz w:val="22"/>
                <w:szCs w:val="22"/>
              </w:rPr>
              <w:t>Legislation</w:t>
            </w:r>
            <w:r w:rsidR="00BD6342">
              <w:rPr>
                <w:rFonts w:ascii="Arial" w:hAnsi="Arial" w:cs="Arial"/>
                <w:b/>
                <w:sz w:val="22"/>
                <w:szCs w:val="22"/>
              </w:rPr>
              <w:t xml:space="preserve">: </w:t>
            </w:r>
            <w:r w:rsidR="00A00933">
              <w:rPr>
                <w:rFonts w:ascii="Arial" w:hAnsi="Arial" w:cs="Arial"/>
                <w:b/>
                <w:sz w:val="22"/>
                <w:szCs w:val="22"/>
              </w:rPr>
              <w:t>N/A</w:t>
            </w:r>
          </w:p>
        </w:tc>
      </w:tr>
      <w:tr w:rsidR="00E524AE" w:rsidRPr="007C5658" w14:paraId="369514C7" w14:textId="77777777" w:rsidTr="001B4BC9">
        <w:trPr>
          <w:trHeight w:val="275"/>
        </w:trPr>
        <w:tc>
          <w:tcPr>
            <w:tcW w:w="1697" w:type="dxa"/>
            <w:vMerge/>
            <w:shd w:val="clear" w:color="auto" w:fill="auto"/>
          </w:tcPr>
          <w:p w14:paraId="471C253A" w14:textId="77777777" w:rsidR="00E524AE" w:rsidRPr="007C5658" w:rsidRDefault="00E524AE" w:rsidP="002E566A">
            <w:pPr>
              <w:rPr>
                <w:rFonts w:ascii="Arial" w:hAnsi="Arial" w:cs="Arial"/>
                <w:b/>
                <w:sz w:val="22"/>
                <w:szCs w:val="22"/>
              </w:rPr>
            </w:pPr>
          </w:p>
        </w:tc>
        <w:tc>
          <w:tcPr>
            <w:tcW w:w="7418" w:type="dxa"/>
            <w:gridSpan w:val="2"/>
            <w:shd w:val="clear" w:color="auto" w:fill="auto"/>
          </w:tcPr>
          <w:p w14:paraId="1DCD0D12" w14:textId="40D60D18" w:rsidR="000E39D3" w:rsidRPr="000E0F40" w:rsidRDefault="00E524AE" w:rsidP="000E39D3">
            <w:pPr>
              <w:rPr>
                <w:rFonts w:ascii="Arial" w:hAnsi="Arial" w:cs="Arial"/>
                <w:color w:val="1F497D"/>
                <w:sz w:val="22"/>
                <w:szCs w:val="22"/>
              </w:rPr>
            </w:pPr>
            <w:r w:rsidRPr="007C5658">
              <w:rPr>
                <w:rFonts w:ascii="Arial" w:hAnsi="Arial" w:cs="Arial"/>
                <w:b/>
                <w:sz w:val="22"/>
                <w:szCs w:val="22"/>
              </w:rPr>
              <w:t xml:space="preserve">Finance: </w:t>
            </w:r>
            <w:r w:rsidR="000E0F40" w:rsidRPr="000E0F40">
              <w:rPr>
                <w:rFonts w:ascii="Arial" w:hAnsi="Arial" w:cs="Arial"/>
                <w:sz w:val="22"/>
                <w:szCs w:val="22"/>
              </w:rPr>
              <w:t>The waiver of the surcharge would reduce the potential income to the crematorium by £1</w:t>
            </w:r>
            <w:r w:rsidR="00090A3A">
              <w:rPr>
                <w:rFonts w:ascii="Arial" w:hAnsi="Arial" w:cs="Arial"/>
                <w:sz w:val="22"/>
                <w:szCs w:val="22"/>
              </w:rPr>
              <w:t>10</w:t>
            </w:r>
            <w:r w:rsidR="000E0F40" w:rsidRPr="000E0F40">
              <w:rPr>
                <w:rFonts w:ascii="Arial" w:hAnsi="Arial" w:cs="Arial"/>
                <w:sz w:val="22"/>
                <w:szCs w:val="22"/>
              </w:rPr>
              <w:t xml:space="preserve"> per Saturday service, however based on experience earlier in the pandemic the uptake is unlikely</w:t>
            </w:r>
            <w:r w:rsidR="009F5A88">
              <w:rPr>
                <w:rFonts w:ascii="Arial" w:hAnsi="Arial" w:cs="Arial"/>
                <w:sz w:val="22"/>
                <w:szCs w:val="22"/>
              </w:rPr>
              <w:t xml:space="preserve"> to be significant, with 5</w:t>
            </w:r>
            <w:r w:rsidR="000E0F40" w:rsidRPr="00B242CE">
              <w:rPr>
                <w:rFonts w:ascii="Arial" w:hAnsi="Arial" w:cs="Arial"/>
                <w:sz w:val="22"/>
                <w:szCs w:val="22"/>
              </w:rPr>
              <w:t xml:space="preserve"> services booked</w:t>
            </w:r>
            <w:r w:rsidR="000E0F40" w:rsidRPr="000E0F40">
              <w:rPr>
                <w:rFonts w:ascii="Arial" w:hAnsi="Arial" w:cs="Arial"/>
                <w:sz w:val="22"/>
                <w:szCs w:val="22"/>
              </w:rPr>
              <w:t xml:space="preserve"> in for Saturday services </w:t>
            </w:r>
            <w:r w:rsidR="009F5A88">
              <w:rPr>
                <w:rFonts w:ascii="Arial" w:hAnsi="Arial" w:cs="Arial"/>
                <w:sz w:val="22"/>
                <w:szCs w:val="22"/>
              </w:rPr>
              <w:t>during previous 6 month waiver period costing £5</w:t>
            </w:r>
            <w:r w:rsidR="00090A3A">
              <w:rPr>
                <w:rFonts w:ascii="Arial" w:hAnsi="Arial" w:cs="Arial"/>
                <w:sz w:val="22"/>
                <w:szCs w:val="22"/>
              </w:rPr>
              <w:t>40</w:t>
            </w:r>
            <w:r w:rsidR="000E0F40" w:rsidRPr="000E0F40">
              <w:rPr>
                <w:rFonts w:ascii="Arial" w:hAnsi="Arial" w:cs="Arial"/>
                <w:sz w:val="22"/>
                <w:szCs w:val="22"/>
              </w:rPr>
              <w:t>.</w:t>
            </w:r>
            <w:r w:rsidR="00090A3A">
              <w:rPr>
                <w:rFonts w:ascii="Arial" w:hAnsi="Arial" w:cs="Arial"/>
                <w:sz w:val="22"/>
                <w:szCs w:val="22"/>
              </w:rPr>
              <w:t xml:space="preserve"> This cost is based on the 20/21 surcharge fee of £108</w:t>
            </w:r>
            <w:r w:rsidR="006C38EE">
              <w:rPr>
                <w:rFonts w:ascii="Arial" w:hAnsi="Arial" w:cs="Arial"/>
                <w:sz w:val="22"/>
                <w:szCs w:val="22"/>
              </w:rPr>
              <w:t>.</w:t>
            </w:r>
          </w:p>
          <w:p w14:paraId="5E7B2DB3" w14:textId="77777777" w:rsidR="00E524AE" w:rsidRPr="007C5658" w:rsidRDefault="00E524AE" w:rsidP="002774F1">
            <w:pPr>
              <w:ind w:left="720" w:hanging="720"/>
              <w:rPr>
                <w:rFonts w:ascii="Arial" w:hAnsi="Arial" w:cs="Arial"/>
                <w:b/>
                <w:sz w:val="22"/>
                <w:szCs w:val="22"/>
              </w:rPr>
            </w:pPr>
          </w:p>
        </w:tc>
      </w:tr>
      <w:tr w:rsidR="00E524AE" w:rsidRPr="007C5658" w14:paraId="21F8214A" w14:textId="77777777" w:rsidTr="001B4BC9">
        <w:trPr>
          <w:trHeight w:val="345"/>
        </w:trPr>
        <w:tc>
          <w:tcPr>
            <w:tcW w:w="1697" w:type="dxa"/>
            <w:vMerge/>
            <w:shd w:val="clear" w:color="auto" w:fill="auto"/>
          </w:tcPr>
          <w:p w14:paraId="104AED96" w14:textId="77777777" w:rsidR="00E524AE" w:rsidRPr="007C5658" w:rsidRDefault="00E524AE" w:rsidP="002E566A">
            <w:pPr>
              <w:rPr>
                <w:rFonts w:ascii="Arial" w:hAnsi="Arial" w:cs="Arial"/>
                <w:b/>
                <w:sz w:val="22"/>
                <w:szCs w:val="22"/>
              </w:rPr>
            </w:pPr>
          </w:p>
        </w:tc>
        <w:tc>
          <w:tcPr>
            <w:tcW w:w="7418" w:type="dxa"/>
            <w:gridSpan w:val="2"/>
            <w:shd w:val="clear" w:color="auto" w:fill="auto"/>
          </w:tcPr>
          <w:p w14:paraId="25895E6C" w14:textId="77777777" w:rsidR="00E524AE" w:rsidRPr="007C5658" w:rsidRDefault="00E524AE" w:rsidP="004B6207">
            <w:pPr>
              <w:rPr>
                <w:rFonts w:ascii="Arial" w:hAnsi="Arial" w:cs="Arial"/>
                <w:b/>
                <w:sz w:val="22"/>
                <w:szCs w:val="22"/>
              </w:rPr>
            </w:pPr>
            <w:r w:rsidRPr="007C5658">
              <w:rPr>
                <w:rFonts w:ascii="Arial" w:hAnsi="Arial" w:cs="Arial"/>
                <w:b/>
                <w:sz w:val="22"/>
                <w:szCs w:val="22"/>
              </w:rPr>
              <w:t>HR:</w:t>
            </w:r>
            <w:r w:rsidR="00044206" w:rsidRPr="007C5658">
              <w:rPr>
                <w:rFonts w:ascii="Arial" w:hAnsi="Arial" w:cs="Arial"/>
                <w:b/>
                <w:sz w:val="22"/>
                <w:szCs w:val="22"/>
              </w:rPr>
              <w:t xml:space="preserve"> </w:t>
            </w:r>
            <w:r w:rsidR="00A00933">
              <w:rPr>
                <w:rFonts w:ascii="Arial" w:hAnsi="Arial" w:cs="Arial"/>
                <w:b/>
                <w:sz w:val="22"/>
                <w:szCs w:val="22"/>
              </w:rPr>
              <w:t>N/A</w:t>
            </w:r>
          </w:p>
        </w:tc>
      </w:tr>
      <w:tr w:rsidR="00E524AE" w:rsidRPr="007C5658" w14:paraId="369C59AA" w14:textId="77777777" w:rsidTr="001B4BC9">
        <w:trPr>
          <w:trHeight w:val="345"/>
        </w:trPr>
        <w:tc>
          <w:tcPr>
            <w:tcW w:w="1697" w:type="dxa"/>
            <w:vMerge/>
            <w:shd w:val="clear" w:color="auto" w:fill="auto"/>
          </w:tcPr>
          <w:p w14:paraId="4721D55F" w14:textId="77777777" w:rsidR="00E524AE" w:rsidRPr="007C5658" w:rsidRDefault="00E524AE" w:rsidP="002E566A">
            <w:pPr>
              <w:rPr>
                <w:rFonts w:ascii="Arial" w:hAnsi="Arial" w:cs="Arial"/>
                <w:b/>
                <w:sz w:val="22"/>
                <w:szCs w:val="22"/>
              </w:rPr>
            </w:pPr>
          </w:p>
        </w:tc>
        <w:tc>
          <w:tcPr>
            <w:tcW w:w="7418" w:type="dxa"/>
            <w:gridSpan w:val="2"/>
            <w:shd w:val="clear" w:color="auto" w:fill="auto"/>
          </w:tcPr>
          <w:p w14:paraId="78036DE8" w14:textId="77777777" w:rsidR="00E524AE" w:rsidRPr="007C5658" w:rsidRDefault="00E524AE" w:rsidP="004B6207">
            <w:pPr>
              <w:ind w:left="720" w:hanging="720"/>
              <w:rPr>
                <w:rFonts w:ascii="Arial" w:hAnsi="Arial" w:cs="Arial"/>
                <w:b/>
                <w:sz w:val="22"/>
                <w:szCs w:val="22"/>
              </w:rPr>
            </w:pPr>
            <w:r w:rsidRPr="007C5658">
              <w:rPr>
                <w:rFonts w:ascii="Arial" w:hAnsi="Arial" w:cs="Arial"/>
                <w:b/>
                <w:sz w:val="22"/>
                <w:szCs w:val="22"/>
              </w:rPr>
              <w:t>Climate Change:</w:t>
            </w:r>
            <w:r w:rsidR="007C5658">
              <w:rPr>
                <w:rFonts w:ascii="Arial" w:hAnsi="Arial" w:cs="Arial"/>
                <w:b/>
                <w:sz w:val="22"/>
                <w:szCs w:val="22"/>
              </w:rPr>
              <w:t xml:space="preserve"> </w:t>
            </w:r>
            <w:r w:rsidR="00A00933">
              <w:rPr>
                <w:rFonts w:ascii="Arial" w:hAnsi="Arial" w:cs="Arial"/>
                <w:b/>
                <w:sz w:val="22"/>
                <w:szCs w:val="22"/>
              </w:rPr>
              <w:t>N/A</w:t>
            </w:r>
          </w:p>
        </w:tc>
      </w:tr>
      <w:tr w:rsidR="00E524AE" w:rsidRPr="007C5658" w14:paraId="5B0E9D1D" w14:textId="77777777" w:rsidTr="001B4BC9">
        <w:trPr>
          <w:trHeight w:val="345"/>
        </w:trPr>
        <w:tc>
          <w:tcPr>
            <w:tcW w:w="1697" w:type="dxa"/>
            <w:vMerge/>
            <w:shd w:val="clear" w:color="auto" w:fill="auto"/>
          </w:tcPr>
          <w:p w14:paraId="27289651" w14:textId="77777777" w:rsidR="00E524AE" w:rsidRPr="007C5658" w:rsidRDefault="00E524AE" w:rsidP="002E566A">
            <w:pPr>
              <w:rPr>
                <w:rFonts w:ascii="Arial" w:hAnsi="Arial" w:cs="Arial"/>
                <w:b/>
                <w:sz w:val="22"/>
                <w:szCs w:val="22"/>
              </w:rPr>
            </w:pPr>
          </w:p>
        </w:tc>
        <w:tc>
          <w:tcPr>
            <w:tcW w:w="7418" w:type="dxa"/>
            <w:gridSpan w:val="2"/>
            <w:shd w:val="clear" w:color="auto" w:fill="auto"/>
          </w:tcPr>
          <w:p w14:paraId="5B1B66CF" w14:textId="77777777" w:rsidR="00E524AE" w:rsidRPr="007C5658" w:rsidRDefault="00E524AE" w:rsidP="003D5331">
            <w:pPr>
              <w:rPr>
                <w:rFonts w:ascii="Arial" w:hAnsi="Arial" w:cs="Arial"/>
                <w:sz w:val="22"/>
                <w:szCs w:val="22"/>
              </w:rPr>
            </w:pPr>
            <w:r w:rsidRPr="007C5658">
              <w:rPr>
                <w:rFonts w:ascii="Arial" w:hAnsi="Arial" w:cs="Arial"/>
                <w:b/>
                <w:sz w:val="22"/>
                <w:szCs w:val="22"/>
              </w:rPr>
              <w:t>Data Protectio</w:t>
            </w:r>
            <w:r w:rsidR="00CF499D" w:rsidRPr="007C5658">
              <w:rPr>
                <w:rFonts w:ascii="Arial" w:hAnsi="Arial" w:cs="Arial"/>
                <w:b/>
                <w:sz w:val="22"/>
                <w:szCs w:val="22"/>
              </w:rPr>
              <w:t>n</w:t>
            </w:r>
            <w:r w:rsidR="00BD6342">
              <w:rPr>
                <w:rFonts w:ascii="Arial" w:hAnsi="Arial" w:cs="Arial"/>
                <w:b/>
                <w:sz w:val="22"/>
                <w:szCs w:val="22"/>
              </w:rPr>
              <w:t xml:space="preserve">: </w:t>
            </w:r>
            <w:r w:rsidR="00A00933">
              <w:rPr>
                <w:rFonts w:ascii="Arial" w:hAnsi="Arial" w:cs="Arial"/>
                <w:b/>
                <w:sz w:val="22"/>
                <w:szCs w:val="22"/>
              </w:rPr>
              <w:t>N/A</w:t>
            </w:r>
          </w:p>
          <w:p w14:paraId="4543F4AE" w14:textId="77777777" w:rsidR="00E524AE" w:rsidRPr="007C5658" w:rsidRDefault="00E524AE" w:rsidP="003D5331">
            <w:pPr>
              <w:rPr>
                <w:rFonts w:ascii="Arial" w:hAnsi="Arial" w:cs="Arial"/>
                <w:b/>
                <w:sz w:val="22"/>
                <w:szCs w:val="22"/>
              </w:rPr>
            </w:pPr>
          </w:p>
        </w:tc>
      </w:tr>
      <w:tr w:rsidR="00E524AE" w:rsidRPr="007C5658" w14:paraId="3B7DA980" w14:textId="77777777" w:rsidTr="001B4BC9">
        <w:trPr>
          <w:trHeight w:val="325"/>
        </w:trPr>
        <w:tc>
          <w:tcPr>
            <w:tcW w:w="1697" w:type="dxa"/>
            <w:vMerge/>
            <w:shd w:val="clear" w:color="auto" w:fill="auto"/>
          </w:tcPr>
          <w:p w14:paraId="5AAE3C92" w14:textId="77777777" w:rsidR="00E524AE" w:rsidRPr="007C5658" w:rsidRDefault="00E524AE" w:rsidP="003D5331">
            <w:pPr>
              <w:rPr>
                <w:rFonts w:ascii="Arial" w:hAnsi="Arial" w:cs="Arial"/>
                <w:b/>
                <w:sz w:val="22"/>
                <w:szCs w:val="22"/>
              </w:rPr>
            </w:pPr>
          </w:p>
        </w:tc>
        <w:tc>
          <w:tcPr>
            <w:tcW w:w="7418" w:type="dxa"/>
            <w:gridSpan w:val="2"/>
            <w:shd w:val="clear" w:color="auto" w:fill="auto"/>
          </w:tcPr>
          <w:p w14:paraId="6956A17A" w14:textId="77777777" w:rsidR="00E524AE" w:rsidRPr="007C5658" w:rsidRDefault="00E524AE" w:rsidP="004B6207">
            <w:pPr>
              <w:rPr>
                <w:rFonts w:ascii="Arial" w:hAnsi="Arial" w:cs="Arial"/>
                <w:b/>
                <w:sz w:val="22"/>
                <w:szCs w:val="22"/>
              </w:rPr>
            </w:pPr>
            <w:r w:rsidRPr="007C5658">
              <w:rPr>
                <w:rFonts w:ascii="Arial" w:hAnsi="Arial" w:cs="Arial"/>
                <w:b/>
                <w:sz w:val="22"/>
                <w:szCs w:val="22"/>
              </w:rPr>
              <w:t>Human Rights:</w:t>
            </w:r>
            <w:r w:rsidR="00044206" w:rsidRPr="007C5658">
              <w:rPr>
                <w:rFonts w:ascii="Arial" w:hAnsi="Arial" w:cs="Arial"/>
                <w:b/>
                <w:sz w:val="22"/>
                <w:szCs w:val="22"/>
              </w:rPr>
              <w:t xml:space="preserve"> </w:t>
            </w:r>
            <w:r w:rsidR="00A00933">
              <w:rPr>
                <w:rFonts w:ascii="Arial" w:hAnsi="Arial" w:cs="Arial"/>
                <w:b/>
                <w:sz w:val="22"/>
                <w:szCs w:val="22"/>
              </w:rPr>
              <w:t>N/A</w:t>
            </w:r>
          </w:p>
        </w:tc>
      </w:tr>
      <w:tr w:rsidR="00E524AE" w:rsidRPr="007C5658" w14:paraId="2140D718" w14:textId="77777777" w:rsidTr="001B4BC9">
        <w:trPr>
          <w:trHeight w:val="325"/>
        </w:trPr>
        <w:tc>
          <w:tcPr>
            <w:tcW w:w="1697" w:type="dxa"/>
            <w:vMerge/>
            <w:shd w:val="clear" w:color="auto" w:fill="auto"/>
          </w:tcPr>
          <w:p w14:paraId="5EDC67B8" w14:textId="77777777" w:rsidR="00E524AE" w:rsidRPr="007C5658" w:rsidRDefault="00E524AE" w:rsidP="003D5331">
            <w:pPr>
              <w:rPr>
                <w:rFonts w:ascii="Arial" w:hAnsi="Arial" w:cs="Arial"/>
                <w:b/>
                <w:sz w:val="22"/>
                <w:szCs w:val="22"/>
              </w:rPr>
            </w:pPr>
          </w:p>
        </w:tc>
        <w:tc>
          <w:tcPr>
            <w:tcW w:w="7418" w:type="dxa"/>
            <w:gridSpan w:val="2"/>
            <w:shd w:val="clear" w:color="auto" w:fill="auto"/>
          </w:tcPr>
          <w:p w14:paraId="4883DDFA" w14:textId="77777777" w:rsidR="008F26A7" w:rsidRPr="007C5658" w:rsidRDefault="00E524AE" w:rsidP="008F26A7">
            <w:pPr>
              <w:ind w:left="720" w:hanging="720"/>
              <w:rPr>
                <w:rFonts w:ascii="Arial" w:hAnsi="Arial" w:cs="Arial"/>
                <w:sz w:val="22"/>
                <w:szCs w:val="22"/>
              </w:rPr>
            </w:pPr>
            <w:r w:rsidRPr="007C5658">
              <w:rPr>
                <w:rFonts w:ascii="Arial" w:hAnsi="Arial" w:cs="Arial"/>
                <w:b/>
                <w:sz w:val="22"/>
                <w:szCs w:val="22"/>
              </w:rPr>
              <w:t xml:space="preserve">Equality and </w:t>
            </w:r>
            <w:r w:rsidR="004D3671" w:rsidRPr="007C5658">
              <w:rPr>
                <w:rFonts w:ascii="Arial" w:hAnsi="Arial" w:cs="Arial"/>
                <w:b/>
                <w:sz w:val="22"/>
                <w:szCs w:val="22"/>
              </w:rPr>
              <w:t>Diversity</w:t>
            </w:r>
            <w:r w:rsidR="004D3671">
              <w:rPr>
                <w:rFonts w:ascii="Arial" w:hAnsi="Arial" w:cs="Arial"/>
                <w:b/>
                <w:sz w:val="22"/>
                <w:szCs w:val="22"/>
              </w:rPr>
              <w:t xml:space="preserve">: </w:t>
            </w:r>
            <w:r w:rsidR="00A00933">
              <w:rPr>
                <w:rFonts w:ascii="Arial" w:hAnsi="Arial" w:cs="Arial"/>
                <w:b/>
                <w:sz w:val="22"/>
                <w:szCs w:val="22"/>
              </w:rPr>
              <w:t>N/A</w:t>
            </w:r>
          </w:p>
          <w:p w14:paraId="05E79B63" w14:textId="77777777" w:rsidR="00E524AE" w:rsidRPr="007C5658" w:rsidRDefault="00E524AE" w:rsidP="003F7790">
            <w:pPr>
              <w:rPr>
                <w:rFonts w:ascii="Arial" w:hAnsi="Arial" w:cs="Arial"/>
                <w:b/>
                <w:sz w:val="22"/>
                <w:szCs w:val="22"/>
              </w:rPr>
            </w:pPr>
          </w:p>
        </w:tc>
      </w:tr>
      <w:tr w:rsidR="003D5331" w:rsidRPr="007C5658" w14:paraId="7243787F" w14:textId="77777777" w:rsidTr="001B4BC9">
        <w:trPr>
          <w:trHeight w:val="368"/>
        </w:trPr>
        <w:tc>
          <w:tcPr>
            <w:tcW w:w="1697" w:type="dxa"/>
            <w:vMerge w:val="restart"/>
            <w:shd w:val="clear" w:color="auto" w:fill="auto"/>
          </w:tcPr>
          <w:p w14:paraId="4F887B0D" w14:textId="77777777" w:rsidR="003D5331" w:rsidRPr="007C5658" w:rsidRDefault="003D5331" w:rsidP="00E73D2F">
            <w:pPr>
              <w:ind w:right="-109"/>
              <w:rPr>
                <w:rFonts w:ascii="Arial" w:hAnsi="Arial" w:cs="Arial"/>
                <w:b/>
                <w:sz w:val="22"/>
                <w:szCs w:val="22"/>
              </w:rPr>
            </w:pPr>
            <w:r w:rsidRPr="007C5658">
              <w:rPr>
                <w:rFonts w:ascii="Arial" w:hAnsi="Arial" w:cs="Arial"/>
                <w:b/>
                <w:sz w:val="22"/>
                <w:szCs w:val="22"/>
              </w:rPr>
              <w:t>In consultation with:</w:t>
            </w:r>
          </w:p>
          <w:p w14:paraId="41E57891" w14:textId="77777777" w:rsidR="003D5331" w:rsidRPr="007C5658" w:rsidRDefault="003D5331" w:rsidP="00E73D2F">
            <w:pPr>
              <w:ind w:right="-109"/>
              <w:rPr>
                <w:rFonts w:ascii="Arial" w:hAnsi="Arial" w:cs="Arial"/>
                <w:sz w:val="22"/>
                <w:szCs w:val="22"/>
              </w:rPr>
            </w:pPr>
            <w:r w:rsidRPr="007C5658">
              <w:rPr>
                <w:rFonts w:ascii="Arial" w:hAnsi="Arial" w:cs="Arial"/>
                <w:sz w:val="22"/>
                <w:szCs w:val="22"/>
              </w:rPr>
              <w:t>(Where applicable)</w:t>
            </w:r>
          </w:p>
          <w:p w14:paraId="1B4F1A29" w14:textId="77777777" w:rsidR="003D5331" w:rsidRPr="007C5658" w:rsidRDefault="003D5331" w:rsidP="00E73D2F">
            <w:pPr>
              <w:ind w:right="-109"/>
              <w:rPr>
                <w:rFonts w:ascii="Arial" w:hAnsi="Arial" w:cs="Arial"/>
                <w:b/>
                <w:sz w:val="22"/>
                <w:szCs w:val="22"/>
              </w:rPr>
            </w:pPr>
          </w:p>
        </w:tc>
        <w:tc>
          <w:tcPr>
            <w:tcW w:w="7418" w:type="dxa"/>
            <w:gridSpan w:val="2"/>
            <w:shd w:val="clear" w:color="auto" w:fill="auto"/>
          </w:tcPr>
          <w:p w14:paraId="44AB554F" w14:textId="77777777" w:rsidR="003D5331" w:rsidRPr="007C5658" w:rsidRDefault="003D5331" w:rsidP="003D5331">
            <w:pPr>
              <w:rPr>
                <w:rFonts w:ascii="Arial" w:hAnsi="Arial" w:cs="Arial"/>
                <w:b/>
                <w:sz w:val="22"/>
                <w:szCs w:val="22"/>
              </w:rPr>
            </w:pPr>
            <w:r w:rsidRPr="007C5658">
              <w:rPr>
                <w:rFonts w:ascii="Arial" w:hAnsi="Arial" w:cs="Arial"/>
                <w:b/>
                <w:sz w:val="22"/>
                <w:szCs w:val="22"/>
              </w:rPr>
              <w:t>Head of Paid Service:</w:t>
            </w:r>
            <w:r w:rsidR="00B46FC1" w:rsidRPr="007C5658">
              <w:rPr>
                <w:rFonts w:ascii="Arial" w:hAnsi="Arial" w:cs="Arial"/>
                <w:b/>
                <w:sz w:val="22"/>
                <w:szCs w:val="22"/>
              </w:rPr>
              <w:t xml:space="preserve"> </w:t>
            </w:r>
            <w:r w:rsidR="000E0F40">
              <w:rPr>
                <w:rFonts w:ascii="Arial" w:hAnsi="Arial" w:cs="Arial"/>
                <w:b/>
                <w:sz w:val="22"/>
                <w:szCs w:val="22"/>
              </w:rPr>
              <w:t>N/A</w:t>
            </w:r>
          </w:p>
          <w:p w14:paraId="7BF49D4C" w14:textId="77777777" w:rsidR="00E74CDA" w:rsidRPr="007C5658" w:rsidRDefault="00E74CDA" w:rsidP="003D5331">
            <w:pPr>
              <w:rPr>
                <w:rFonts w:ascii="Arial" w:hAnsi="Arial" w:cs="Arial"/>
                <w:b/>
                <w:sz w:val="22"/>
                <w:szCs w:val="22"/>
              </w:rPr>
            </w:pPr>
          </w:p>
        </w:tc>
      </w:tr>
      <w:tr w:rsidR="003D5331" w:rsidRPr="007C5658" w14:paraId="1EBB050F" w14:textId="77777777" w:rsidTr="001B4BC9">
        <w:trPr>
          <w:trHeight w:val="366"/>
        </w:trPr>
        <w:tc>
          <w:tcPr>
            <w:tcW w:w="1697" w:type="dxa"/>
            <w:vMerge/>
            <w:shd w:val="clear" w:color="auto" w:fill="auto"/>
          </w:tcPr>
          <w:p w14:paraId="2172A523" w14:textId="77777777" w:rsidR="003D5331" w:rsidRPr="007C5658" w:rsidRDefault="003D5331" w:rsidP="00E73D2F">
            <w:pPr>
              <w:ind w:right="-109"/>
              <w:rPr>
                <w:rFonts w:ascii="Arial" w:hAnsi="Arial" w:cs="Arial"/>
                <w:b/>
                <w:sz w:val="22"/>
                <w:szCs w:val="22"/>
              </w:rPr>
            </w:pPr>
          </w:p>
        </w:tc>
        <w:tc>
          <w:tcPr>
            <w:tcW w:w="7418" w:type="dxa"/>
            <w:gridSpan w:val="2"/>
            <w:shd w:val="clear" w:color="auto" w:fill="auto"/>
          </w:tcPr>
          <w:p w14:paraId="4635F313" w14:textId="74484483" w:rsidR="00E74CDA" w:rsidRPr="007C5658" w:rsidRDefault="003D5331" w:rsidP="004B6207">
            <w:pPr>
              <w:rPr>
                <w:rFonts w:ascii="Arial" w:hAnsi="Arial" w:cs="Arial"/>
                <w:b/>
                <w:sz w:val="22"/>
                <w:szCs w:val="22"/>
              </w:rPr>
            </w:pPr>
            <w:r w:rsidRPr="007C5658">
              <w:rPr>
                <w:rFonts w:ascii="Arial" w:hAnsi="Arial" w:cs="Arial"/>
                <w:b/>
                <w:sz w:val="22"/>
                <w:szCs w:val="22"/>
              </w:rPr>
              <w:t>Monitoring Officer:</w:t>
            </w:r>
            <w:r w:rsidR="00687074" w:rsidRPr="007C5658">
              <w:rPr>
                <w:rFonts w:ascii="Arial" w:hAnsi="Arial" w:cs="Arial"/>
                <w:b/>
                <w:sz w:val="22"/>
                <w:szCs w:val="22"/>
              </w:rPr>
              <w:t xml:space="preserve"> </w:t>
            </w:r>
            <w:r w:rsidR="00B97474">
              <w:rPr>
                <w:rFonts w:ascii="Arial" w:hAnsi="Arial" w:cs="Arial"/>
                <w:b/>
                <w:sz w:val="22"/>
                <w:szCs w:val="22"/>
              </w:rPr>
              <w:t>No specific comments</w:t>
            </w:r>
          </w:p>
        </w:tc>
      </w:tr>
      <w:tr w:rsidR="003D5331" w:rsidRPr="007C5658" w14:paraId="348DDAEE" w14:textId="77777777" w:rsidTr="001B4BC9">
        <w:trPr>
          <w:trHeight w:val="366"/>
        </w:trPr>
        <w:tc>
          <w:tcPr>
            <w:tcW w:w="1697" w:type="dxa"/>
            <w:vMerge/>
            <w:shd w:val="clear" w:color="auto" w:fill="auto"/>
          </w:tcPr>
          <w:p w14:paraId="07BDCC2C" w14:textId="77777777" w:rsidR="003D5331" w:rsidRPr="007C5658" w:rsidRDefault="003D5331" w:rsidP="00E73D2F">
            <w:pPr>
              <w:ind w:right="-109"/>
              <w:rPr>
                <w:rFonts w:ascii="Arial" w:hAnsi="Arial" w:cs="Arial"/>
                <w:b/>
                <w:sz w:val="22"/>
                <w:szCs w:val="22"/>
              </w:rPr>
            </w:pPr>
          </w:p>
        </w:tc>
        <w:tc>
          <w:tcPr>
            <w:tcW w:w="7418" w:type="dxa"/>
            <w:gridSpan w:val="2"/>
            <w:shd w:val="clear" w:color="auto" w:fill="auto"/>
          </w:tcPr>
          <w:p w14:paraId="174E5E8C" w14:textId="74E35EE9" w:rsidR="003D5331" w:rsidRPr="007C5658" w:rsidRDefault="003D5331" w:rsidP="004B6207">
            <w:pPr>
              <w:rPr>
                <w:rFonts w:ascii="Arial" w:hAnsi="Arial" w:cs="Arial"/>
                <w:b/>
                <w:sz w:val="22"/>
                <w:szCs w:val="22"/>
              </w:rPr>
            </w:pPr>
            <w:r w:rsidRPr="007C5658">
              <w:rPr>
                <w:rFonts w:ascii="Arial" w:hAnsi="Arial" w:cs="Arial"/>
                <w:b/>
                <w:sz w:val="22"/>
                <w:szCs w:val="22"/>
              </w:rPr>
              <w:t>Section 151 Officer:</w:t>
            </w:r>
            <w:r w:rsidR="00FF78E6" w:rsidRPr="007C5658">
              <w:rPr>
                <w:rFonts w:ascii="Arial" w:hAnsi="Arial" w:cs="Arial"/>
                <w:b/>
                <w:sz w:val="22"/>
                <w:szCs w:val="22"/>
              </w:rPr>
              <w:t xml:space="preserve"> </w:t>
            </w:r>
            <w:r w:rsidR="00B97474">
              <w:rPr>
                <w:rFonts w:ascii="Arial" w:hAnsi="Arial" w:cs="Arial"/>
                <w:b/>
                <w:sz w:val="22"/>
                <w:szCs w:val="22"/>
              </w:rPr>
              <w:t>No specific comments</w:t>
            </w:r>
          </w:p>
        </w:tc>
      </w:tr>
      <w:tr w:rsidR="00046933" w:rsidRPr="007C5658" w14:paraId="3202B23D" w14:textId="77777777" w:rsidTr="001B4BC9">
        <w:tc>
          <w:tcPr>
            <w:tcW w:w="1697" w:type="dxa"/>
            <w:shd w:val="clear" w:color="auto" w:fill="auto"/>
          </w:tcPr>
          <w:p w14:paraId="4114AD89" w14:textId="77777777" w:rsidR="00046933" w:rsidRPr="007C5658" w:rsidRDefault="00046933" w:rsidP="00E73D2F">
            <w:pPr>
              <w:ind w:right="-109"/>
              <w:rPr>
                <w:rFonts w:ascii="Arial" w:hAnsi="Arial" w:cs="Arial"/>
                <w:b/>
                <w:sz w:val="22"/>
                <w:szCs w:val="22"/>
              </w:rPr>
            </w:pPr>
            <w:r w:rsidRPr="007C5658">
              <w:rPr>
                <w:rFonts w:ascii="Arial" w:hAnsi="Arial" w:cs="Arial"/>
                <w:b/>
                <w:sz w:val="22"/>
                <w:szCs w:val="22"/>
              </w:rPr>
              <w:t>Signature of Decision Taker:</w:t>
            </w:r>
          </w:p>
          <w:p w14:paraId="515228C6" w14:textId="77777777" w:rsidR="002E566A" w:rsidRPr="007C5658" w:rsidRDefault="002E566A" w:rsidP="00E73D2F">
            <w:pPr>
              <w:ind w:right="-109"/>
              <w:rPr>
                <w:rFonts w:ascii="Arial" w:hAnsi="Arial" w:cs="Arial"/>
                <w:sz w:val="22"/>
                <w:szCs w:val="22"/>
              </w:rPr>
            </w:pPr>
            <w:r w:rsidRPr="007C5658">
              <w:rPr>
                <w:rFonts w:ascii="Arial" w:hAnsi="Arial" w:cs="Arial"/>
                <w:sz w:val="22"/>
                <w:szCs w:val="22"/>
              </w:rPr>
              <w:t>(Please do not ‘pp’)</w:t>
            </w:r>
          </w:p>
          <w:p w14:paraId="57F3231F" w14:textId="77777777" w:rsidR="00046933" w:rsidRPr="007C5658" w:rsidRDefault="00046933" w:rsidP="00E73D2F">
            <w:pPr>
              <w:ind w:right="-109"/>
              <w:rPr>
                <w:rFonts w:ascii="Arial" w:hAnsi="Arial" w:cs="Arial"/>
                <w:b/>
                <w:sz w:val="22"/>
                <w:szCs w:val="22"/>
              </w:rPr>
            </w:pPr>
          </w:p>
        </w:tc>
        <w:tc>
          <w:tcPr>
            <w:tcW w:w="7418" w:type="dxa"/>
            <w:gridSpan w:val="2"/>
            <w:shd w:val="clear" w:color="auto" w:fill="auto"/>
          </w:tcPr>
          <w:p w14:paraId="25974B62" w14:textId="77777777" w:rsidR="00046933" w:rsidRPr="007C5658" w:rsidRDefault="00046933" w:rsidP="003D5331">
            <w:pPr>
              <w:rPr>
                <w:rFonts w:ascii="Arial" w:hAnsi="Arial" w:cs="Arial"/>
                <w:noProof/>
                <w:sz w:val="22"/>
                <w:szCs w:val="22"/>
              </w:rPr>
            </w:pPr>
          </w:p>
          <w:p w14:paraId="3833B064" w14:textId="5E7E362A" w:rsidR="008D4EBC" w:rsidRPr="007C5658" w:rsidRDefault="000E2796" w:rsidP="003D5331">
            <w:pPr>
              <w:rPr>
                <w:rFonts w:ascii="Arial" w:hAnsi="Arial" w:cs="Arial"/>
                <w:b/>
                <w:sz w:val="22"/>
                <w:szCs w:val="22"/>
              </w:rPr>
            </w:pPr>
            <w:r>
              <w:rPr>
                <w:rFonts w:ascii="Arial" w:hAnsi="Arial" w:cs="Arial"/>
                <w:b/>
                <w:noProof/>
                <w:sz w:val="22"/>
                <w:szCs w:val="22"/>
              </w:rPr>
              <w:t>Sarah Troman</w:t>
            </w:r>
            <w:bookmarkStart w:id="0" w:name="_GoBack"/>
            <w:bookmarkEnd w:id="0"/>
          </w:p>
        </w:tc>
      </w:tr>
    </w:tbl>
    <w:p w14:paraId="2C7C93B2" w14:textId="77777777" w:rsidR="00586F20" w:rsidRPr="007C5658" w:rsidRDefault="00586F20">
      <w:pPr>
        <w:rPr>
          <w:rFonts w:ascii="Arial" w:hAnsi="Arial" w:cs="Arial"/>
          <w:sz w:val="22"/>
          <w:szCs w:val="22"/>
        </w:rPr>
      </w:pPr>
    </w:p>
    <w:p w14:paraId="423ADCB8" w14:textId="77777777" w:rsidR="002E566A" w:rsidRPr="007C5658" w:rsidRDefault="00046933" w:rsidP="00046933">
      <w:pPr>
        <w:rPr>
          <w:rFonts w:ascii="Arial" w:hAnsi="Arial" w:cs="Arial"/>
          <w:sz w:val="22"/>
          <w:szCs w:val="22"/>
        </w:rPr>
      </w:pPr>
      <w:r w:rsidRPr="007C5658">
        <w:rPr>
          <w:rFonts w:ascii="Arial" w:hAnsi="Arial" w:cs="Arial"/>
          <w:sz w:val="22"/>
          <w:szCs w:val="22"/>
        </w:rPr>
        <w:t xml:space="preserve">Please send all decision for publication to: Democratic Services, at </w:t>
      </w:r>
      <w:hyperlink r:id="rId9" w:history="1">
        <w:r w:rsidR="002E4C1F" w:rsidRPr="007C5658">
          <w:rPr>
            <w:rStyle w:val="Hyperlink"/>
            <w:rFonts w:ascii="Arial" w:hAnsi="Arial" w:cs="Arial"/>
            <w:sz w:val="22"/>
            <w:szCs w:val="22"/>
          </w:rPr>
          <w:t>democraticservices@mansfield.gov.uk</w:t>
        </w:r>
      </w:hyperlink>
      <w:r w:rsidRPr="007C5658">
        <w:rPr>
          <w:rFonts w:ascii="Arial" w:hAnsi="Arial" w:cs="Arial"/>
          <w:sz w:val="22"/>
          <w:szCs w:val="22"/>
        </w:rPr>
        <w:t>.</w:t>
      </w:r>
    </w:p>
    <w:p w14:paraId="67325C81" w14:textId="77777777" w:rsidR="002E566A" w:rsidRPr="007C5658" w:rsidRDefault="002E566A" w:rsidP="00046933">
      <w:pPr>
        <w:rPr>
          <w:rFonts w:ascii="Arial" w:hAnsi="Arial" w:cs="Arial"/>
          <w:sz w:val="22"/>
          <w:szCs w:val="22"/>
        </w:rPr>
      </w:pPr>
    </w:p>
    <w:p w14:paraId="12139CA7" w14:textId="77777777" w:rsidR="00046933" w:rsidRPr="007C5658" w:rsidRDefault="00046933" w:rsidP="00046933">
      <w:pPr>
        <w:rPr>
          <w:rFonts w:ascii="Arial" w:hAnsi="Arial" w:cs="Arial"/>
          <w:sz w:val="22"/>
          <w:szCs w:val="22"/>
        </w:rPr>
      </w:pPr>
      <w:r w:rsidRPr="007C5658">
        <w:rPr>
          <w:rFonts w:ascii="Arial" w:hAnsi="Arial" w:cs="Arial"/>
          <w:sz w:val="22"/>
          <w:szCs w:val="22"/>
        </w:rPr>
        <w:t xml:space="preserve">All decisions with exempt information should be sent to </w:t>
      </w:r>
      <w:r w:rsidR="002E566A" w:rsidRPr="007C5658">
        <w:rPr>
          <w:rFonts w:ascii="Arial" w:hAnsi="Arial" w:cs="Arial"/>
          <w:sz w:val="22"/>
          <w:szCs w:val="22"/>
        </w:rPr>
        <w:t>Mark Pemberton</w:t>
      </w:r>
      <w:r w:rsidRPr="007C5658">
        <w:rPr>
          <w:rFonts w:ascii="Arial" w:hAnsi="Arial" w:cs="Arial"/>
          <w:sz w:val="22"/>
          <w:szCs w:val="22"/>
        </w:rPr>
        <w:t xml:space="preserve">, Democratic Services Manager at </w:t>
      </w:r>
      <w:hyperlink r:id="rId10" w:history="1">
        <w:r w:rsidR="002E566A" w:rsidRPr="007C5658">
          <w:rPr>
            <w:rStyle w:val="Hyperlink"/>
            <w:rFonts w:ascii="Arial" w:hAnsi="Arial" w:cs="Arial"/>
            <w:sz w:val="22"/>
            <w:szCs w:val="22"/>
          </w:rPr>
          <w:t>mpemberton@mansfield.gov.uk</w:t>
        </w:r>
      </w:hyperlink>
      <w:r w:rsidR="002E566A" w:rsidRPr="007C5658">
        <w:rPr>
          <w:rFonts w:ascii="Arial" w:hAnsi="Arial" w:cs="Arial"/>
          <w:sz w:val="22"/>
          <w:szCs w:val="22"/>
        </w:rPr>
        <w:t>.</w:t>
      </w:r>
    </w:p>
    <w:p w14:paraId="156D79B4" w14:textId="77777777"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1380" w14:textId="77777777" w:rsidR="00B83A02" w:rsidRDefault="00B83A02">
      <w:r>
        <w:separator/>
      </w:r>
    </w:p>
  </w:endnote>
  <w:endnote w:type="continuationSeparator" w:id="0">
    <w:p w14:paraId="2B522BA3" w14:textId="77777777" w:rsidR="00B83A02" w:rsidRDefault="00B8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D313" w14:textId="77777777" w:rsidR="00B83A02" w:rsidRDefault="00B83A02">
      <w:r>
        <w:separator/>
      </w:r>
    </w:p>
  </w:footnote>
  <w:footnote w:type="continuationSeparator" w:id="0">
    <w:p w14:paraId="24BE69C9" w14:textId="77777777" w:rsidR="00B83A02" w:rsidRDefault="00B83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0A67390"/>
    <w:multiLevelType w:val="hybridMultilevel"/>
    <w:tmpl w:val="389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93650"/>
    <w:multiLevelType w:val="hybridMultilevel"/>
    <w:tmpl w:val="9F3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747C059E"/>
    <w:multiLevelType w:val="hybridMultilevel"/>
    <w:tmpl w:val="7422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04A2F"/>
    <w:rsid w:val="00020A02"/>
    <w:rsid w:val="00044206"/>
    <w:rsid w:val="00046933"/>
    <w:rsid w:val="000511FB"/>
    <w:rsid w:val="000553E6"/>
    <w:rsid w:val="000807D7"/>
    <w:rsid w:val="00081DE5"/>
    <w:rsid w:val="00090A3A"/>
    <w:rsid w:val="000C2E4B"/>
    <w:rsid w:val="000C76E6"/>
    <w:rsid w:val="000C7A93"/>
    <w:rsid w:val="000E0F40"/>
    <w:rsid w:val="000E2796"/>
    <w:rsid w:val="000E288F"/>
    <w:rsid w:val="000E39D3"/>
    <w:rsid w:val="00122023"/>
    <w:rsid w:val="00136429"/>
    <w:rsid w:val="00154649"/>
    <w:rsid w:val="00165587"/>
    <w:rsid w:val="001B4BC9"/>
    <w:rsid w:val="001E73CC"/>
    <w:rsid w:val="0021082B"/>
    <w:rsid w:val="00225254"/>
    <w:rsid w:val="00240BA3"/>
    <w:rsid w:val="00240C81"/>
    <w:rsid w:val="00272A9B"/>
    <w:rsid w:val="002774F1"/>
    <w:rsid w:val="00284CB5"/>
    <w:rsid w:val="00284ECD"/>
    <w:rsid w:val="002C2A55"/>
    <w:rsid w:val="002D6E1E"/>
    <w:rsid w:val="002E4C1F"/>
    <w:rsid w:val="002E566A"/>
    <w:rsid w:val="002F38A7"/>
    <w:rsid w:val="002F43F8"/>
    <w:rsid w:val="00362485"/>
    <w:rsid w:val="00362D1E"/>
    <w:rsid w:val="00373837"/>
    <w:rsid w:val="003A04B0"/>
    <w:rsid w:val="003A7A26"/>
    <w:rsid w:val="003D1EFF"/>
    <w:rsid w:val="003D5331"/>
    <w:rsid w:val="003E3A20"/>
    <w:rsid w:val="003F4752"/>
    <w:rsid w:val="003F7790"/>
    <w:rsid w:val="00413419"/>
    <w:rsid w:val="004251A2"/>
    <w:rsid w:val="004263FA"/>
    <w:rsid w:val="004437AD"/>
    <w:rsid w:val="00460D7F"/>
    <w:rsid w:val="0048549B"/>
    <w:rsid w:val="004A4D03"/>
    <w:rsid w:val="004B6207"/>
    <w:rsid w:val="004D1A19"/>
    <w:rsid w:val="004D3671"/>
    <w:rsid w:val="00516F04"/>
    <w:rsid w:val="00557B22"/>
    <w:rsid w:val="00586F20"/>
    <w:rsid w:val="00595113"/>
    <w:rsid w:val="005B079D"/>
    <w:rsid w:val="005E6B25"/>
    <w:rsid w:val="005F66FF"/>
    <w:rsid w:val="00640F4F"/>
    <w:rsid w:val="00687074"/>
    <w:rsid w:val="00691940"/>
    <w:rsid w:val="00693778"/>
    <w:rsid w:val="006C36F8"/>
    <w:rsid w:val="006C38EE"/>
    <w:rsid w:val="006D264A"/>
    <w:rsid w:val="006F63BA"/>
    <w:rsid w:val="00703AC2"/>
    <w:rsid w:val="007049DD"/>
    <w:rsid w:val="00721168"/>
    <w:rsid w:val="00754139"/>
    <w:rsid w:val="00762D5A"/>
    <w:rsid w:val="00771E5A"/>
    <w:rsid w:val="00772A75"/>
    <w:rsid w:val="0077658F"/>
    <w:rsid w:val="00793D98"/>
    <w:rsid w:val="007B7BFB"/>
    <w:rsid w:val="007C5658"/>
    <w:rsid w:val="007E79BD"/>
    <w:rsid w:val="0080723D"/>
    <w:rsid w:val="00810D85"/>
    <w:rsid w:val="00874F26"/>
    <w:rsid w:val="00891A50"/>
    <w:rsid w:val="008D4EBC"/>
    <w:rsid w:val="008E1A75"/>
    <w:rsid w:val="008F26A7"/>
    <w:rsid w:val="00957E23"/>
    <w:rsid w:val="009745B1"/>
    <w:rsid w:val="00993D2B"/>
    <w:rsid w:val="009B6FB1"/>
    <w:rsid w:val="009C3E0D"/>
    <w:rsid w:val="009D72AA"/>
    <w:rsid w:val="009F5A88"/>
    <w:rsid w:val="009F6727"/>
    <w:rsid w:val="00A00933"/>
    <w:rsid w:val="00A64365"/>
    <w:rsid w:val="00A91481"/>
    <w:rsid w:val="00AC061A"/>
    <w:rsid w:val="00AE68C9"/>
    <w:rsid w:val="00B01B98"/>
    <w:rsid w:val="00B242CE"/>
    <w:rsid w:val="00B30FB3"/>
    <w:rsid w:val="00B34274"/>
    <w:rsid w:val="00B46FC1"/>
    <w:rsid w:val="00B82111"/>
    <w:rsid w:val="00B83A02"/>
    <w:rsid w:val="00B84AF7"/>
    <w:rsid w:val="00B97474"/>
    <w:rsid w:val="00BA5C94"/>
    <w:rsid w:val="00BB017E"/>
    <w:rsid w:val="00BB1318"/>
    <w:rsid w:val="00BB48D6"/>
    <w:rsid w:val="00BC36B2"/>
    <w:rsid w:val="00BD6342"/>
    <w:rsid w:val="00BE5D82"/>
    <w:rsid w:val="00C55A23"/>
    <w:rsid w:val="00C61517"/>
    <w:rsid w:val="00C6775D"/>
    <w:rsid w:val="00CA3D8C"/>
    <w:rsid w:val="00CB24D2"/>
    <w:rsid w:val="00CE022F"/>
    <w:rsid w:val="00CF499D"/>
    <w:rsid w:val="00D26A31"/>
    <w:rsid w:val="00D27921"/>
    <w:rsid w:val="00D35DDA"/>
    <w:rsid w:val="00D70FF0"/>
    <w:rsid w:val="00DB4772"/>
    <w:rsid w:val="00DC5D32"/>
    <w:rsid w:val="00DF5B3E"/>
    <w:rsid w:val="00DF795C"/>
    <w:rsid w:val="00E4397C"/>
    <w:rsid w:val="00E524AE"/>
    <w:rsid w:val="00E65BFE"/>
    <w:rsid w:val="00E73048"/>
    <w:rsid w:val="00E73D2F"/>
    <w:rsid w:val="00E74CDA"/>
    <w:rsid w:val="00EA57CD"/>
    <w:rsid w:val="00FB1AE1"/>
    <w:rsid w:val="00FB27EF"/>
    <w:rsid w:val="00FD0A4B"/>
    <w:rsid w:val="00FE6AC6"/>
    <w:rsid w:val="00FF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618C9"/>
  <w15:chartTrackingRefBased/>
  <w15:docId w15:val="{D8F4B90D-22BE-457C-99F2-192F4999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9732">
      <w:bodyDiv w:val="1"/>
      <w:marLeft w:val="0"/>
      <w:marRight w:val="0"/>
      <w:marTop w:val="0"/>
      <w:marBottom w:val="0"/>
      <w:divBdr>
        <w:top w:val="none" w:sz="0" w:space="0" w:color="auto"/>
        <w:left w:val="none" w:sz="0" w:space="0" w:color="auto"/>
        <w:bottom w:val="none" w:sz="0" w:space="0" w:color="auto"/>
        <w:right w:val="none" w:sz="0" w:space="0" w:color="auto"/>
      </w:divBdr>
    </w:div>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567449809">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 w:id="19146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pemberton@mansfield.gov.uk" TargetMode="External"/><Relationship Id="rId4" Type="http://schemas.openxmlformats.org/officeDocument/2006/relationships/settings" Target="settings.xml"/><Relationship Id="rId9" Type="http://schemas.openxmlformats.org/officeDocument/2006/relationships/hyperlink" Target="mailto:democraticservices@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3386-CBBD-4658-908B-3B481EA0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3638</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2022-01-27T08:58:00Z</dcterms:created>
  <dcterms:modified xsi:type="dcterms:W3CDTF">2022-01-27T08:58:00Z</dcterms:modified>
</cp:coreProperties>
</file>